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171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213/2020, 129/2020, και ημερομηνία  δικασίμου 1-2-2021,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7η Ιουνίου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10-2</w:t>
      </w:r>
      <w:r>
        <w:rPr>
          <w:rFonts w:cs="Arial" w:ascii="Arial" w:hAnsi="Arial"/>
          <w:sz w:val="24"/>
          <w:szCs w:val="24"/>
        </w:rPr>
        <w:t>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81047333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LibreOffice/6.0.2.1$Windows_x86 LibreOffice_project/f7f06a8f319e4b62f9bc5095aa112a65d2f3ac89</Application>
  <Pages>1</Pages>
  <Words>113</Words>
  <Characters>717</Characters>
  <CharactersWithSpaces>11034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2020-12-15T12:55:18Z</cp:lastPrinted>
  <dcterms:modified xsi:type="dcterms:W3CDTF">2021-02-10T13:41:23Z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