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172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286/20 και </w:t>
      </w:r>
      <w:bookmarkStart w:id="0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2-2-2021,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του ανωτέρω δικογράφου την </w:t>
      </w:r>
      <w:r>
        <w:rPr>
          <w:rFonts w:cs="Arial" w:ascii="Arial" w:hAnsi="Arial"/>
          <w:b/>
          <w:bCs/>
          <w:sz w:val="24"/>
          <w:szCs w:val="24"/>
        </w:rPr>
        <w:t>30η Μαρτίου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</w:t>
      </w:r>
      <w:r>
        <w:rPr>
          <w:rFonts w:cs="Arial" w:ascii="Arial" w:hAnsi="Arial"/>
          <w:sz w:val="24"/>
          <w:szCs w:val="24"/>
        </w:rPr>
        <w:t>10-2</w:t>
      </w:r>
      <w:r>
        <w:rPr>
          <w:rFonts w:cs="Arial" w:ascii="Arial" w:hAnsi="Arial"/>
          <w:sz w:val="24"/>
          <w:szCs w:val="24"/>
        </w:rPr>
        <w:t>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7121181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LibreOffice/6.0.2.1$Windows_x86 LibreOffice_project/f7f06a8f319e4b62f9bc5095aa112a65d2f3ac89</Application>
  <Pages>1</Pages>
  <Words>110</Words>
  <Characters>697</Characters>
  <CharactersWithSpaces>11013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2021-02-10T13:44:19Z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